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44"/>
          <w:lang w:val="en-US" w:eastAsia="zh-CN"/>
        </w:rPr>
        <w:t>市本级2025年国有资本经营预算收支</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预算的说明</w:t>
      </w:r>
      <w:bookmarkStart w:id="0" w:name="_GoBack"/>
      <w:bookmarkEnd w:id="0"/>
    </w:p>
    <w:p>
      <w:pPr>
        <w:jc w:val="center"/>
        <w:rPr>
          <w:rFonts w:hint="eastAsia" w:ascii="宋体" w:hAnsi="宋体" w:eastAsia="宋体" w:cs="宋体"/>
          <w:b/>
          <w:bCs/>
          <w:sz w:val="36"/>
          <w:szCs w:val="36"/>
          <w:lang w:val="en-US"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2025年，市直各部门、事业单位出资设立的国有企业以及企业化管理的事业单位全部纳入国有资本经营预算编制范围，共计44户。</w:t>
      </w:r>
    </w:p>
    <w:p>
      <w:pPr>
        <w:widowControl w:val="0"/>
        <w:numPr>
          <w:ilvl w:val="0"/>
          <w:numId w:val="1"/>
        </w:numPr>
        <w:wordWrap/>
        <w:adjustRightInd/>
        <w:snapToGrid/>
        <w:spacing w:line="240" w:lineRule="auto"/>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收入预算</w:t>
      </w:r>
    </w:p>
    <w:p>
      <w:pPr>
        <w:widowControl w:val="0"/>
        <w:numPr>
          <w:numId w:val="0"/>
        </w:numPr>
        <w:wordWrap/>
        <w:adjustRightInd/>
        <w:snapToGrid/>
        <w:spacing w:line="240" w:lineRule="auto"/>
        <w:ind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2025年，市级国有资本经营预算收入预期846万元。分项目看：利润收入8万元；股利、股息收入175万元；其他国有资本经营预算收入663万元。</w:t>
      </w:r>
    </w:p>
    <w:p>
      <w:pPr>
        <w:widowControl w:val="0"/>
        <w:numPr>
          <w:ilvl w:val="0"/>
          <w:numId w:val="1"/>
        </w:numPr>
        <w:wordWrap/>
        <w:adjustRightInd/>
        <w:snapToGrid/>
        <w:spacing w:line="240" w:lineRule="auto"/>
        <w:ind w:left="0" w:leftChars="0"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支出预算</w:t>
      </w:r>
    </w:p>
    <w:p>
      <w:pPr>
        <w:widowControl w:val="0"/>
        <w:numPr>
          <w:numId w:val="0"/>
        </w:numPr>
        <w:wordWrap/>
        <w:adjustRightInd/>
        <w:snapToGrid/>
        <w:spacing w:line="240" w:lineRule="auto"/>
        <w:ind w:right="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2025年，市级国有资本经营预算支出安排846万元。分项目看：解决历史遗留问题及改革成本支出安排346万元；国有企业资本金注入支出安排500万元。</w:t>
      </w:r>
    </w:p>
    <w:p>
      <w:pPr>
        <w:widowControl w:val="0"/>
        <w:numPr>
          <w:numId w:val="0"/>
        </w:numPr>
        <w:wordWrap/>
        <w:adjustRightInd/>
        <w:snapToGrid/>
        <w:spacing w:line="240" w:lineRule="auto"/>
        <w:ind w:right="0" w:firstLine="640" w:firstLineChars="200"/>
        <w:jc w:val="left"/>
        <w:textAlignment w:val="auto"/>
        <w:outlineLvl w:val="9"/>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7339765">
    <w:nsid w:val="678DB375"/>
    <w:multiLevelType w:val="singleLevel"/>
    <w:tmpl w:val="678DB375"/>
    <w:lvl w:ilvl="0" w:tentative="1">
      <w:start w:val="1"/>
      <w:numFmt w:val="chineseCounting"/>
      <w:suff w:val="nothing"/>
      <w:lvlText w:val="%1、"/>
      <w:lvlJc w:val="left"/>
    </w:lvl>
  </w:abstractNum>
  <w:num w:numId="1">
    <w:abstractNumId w:val="17373397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姚佳辛</cp:lastModifiedBy>
  <cp:lastPrinted>2025-01-20T02:36:00Z</cp:lastPrinted>
  <dcterms:modified xsi:type="dcterms:W3CDTF">2025-01-20T02:38:23Z</dcterms:modified>
  <dc:title>关于2025年市级国有资本经营预算收支预算的说明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