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年四平市本级转移支付情况说明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2024年中央及省下一般公共预算转移支付收入预算数334169万元，其中税收返还收入预算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数34050万元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，一般性转移支付收入预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算数286869万元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，专项转移支付收入预算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数13250万元。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政府性基金转移支付收入预算数2839万元。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2023年，四平市对区下达一般公共预算转移支付收入执行数149121万元，其中税收返还收入预算数2556万元，一般性转移支付收入预算数137653万元，专项转移支付收入预算数8912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万元，主要用于环保支出方面、教育、社会保障和就业、医疗卫生与计划生育、乡村振兴等方面。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2019-01-15T06:26:00Z</dcterms:created>
  <dc:creator>贺驰</dc:creator>
  <cp:lastModifiedBy>姚佳辛</cp:lastModifiedBy>
  <dcterms:modified xsi:type="dcterms:W3CDTF">2024-01-30T02:13:00Z</dcterms:modified>
  <dc:title>2024年四平市本级转移支付情况说明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